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镇政府工作经费项目绩效自评报告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2179600.65元，实际支出2179600.65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2179600.65元，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2179600.65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项目资金实际支出2179600.65元，主要支出内容为镇政府工作经费，如支持敬老院人员经费，人大履职费，撂荒地开荒农机服务，订报纸和杂志。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①数量指标：服务对象数量&gt;100人。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②质量指标：补贴发放到位率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③时效指标：各项工作及时完成率100%。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④成本指标：发放标准为工作餐30元/餐/人。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4A70D0D"/>
    <w:rsid w:val="05703215"/>
    <w:rsid w:val="05DE7F94"/>
    <w:rsid w:val="0D0522AA"/>
    <w:rsid w:val="1BEA0FB0"/>
    <w:rsid w:val="2A0C3112"/>
    <w:rsid w:val="2A6B7798"/>
    <w:rsid w:val="38156610"/>
    <w:rsid w:val="39921607"/>
    <w:rsid w:val="3D24776F"/>
    <w:rsid w:val="468762A1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8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2024-04-03T08:32:18Z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